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8D6" w:rsidRPr="00C70449" w:rsidRDefault="00C70449" w:rsidP="00C70449">
      <w:pPr>
        <w:pStyle w:val="Heading1"/>
      </w:pPr>
      <w:r w:rsidRPr="00C70449">
        <w:rPr>
          <w:sz w:val="18"/>
          <w:szCs w:val="18"/>
        </w:rPr>
        <w:fldChar w:fldCharType="begin"/>
      </w:r>
      <w:r w:rsidRPr="00C70449">
        <w:rPr>
          <w:sz w:val="18"/>
          <w:szCs w:val="18"/>
        </w:rPr>
        <w:instrText xml:space="preserve"> MACROBUTTON NUMBERING </w:instrText>
      </w:r>
      <w:r w:rsidRPr="00C70449">
        <w:rPr>
          <w:sz w:val="18"/>
          <w:szCs w:val="18"/>
        </w:rPr>
        <w:fldChar w:fldCharType="begin"/>
      </w:r>
      <w:r w:rsidRPr="00C70449">
        <w:rPr>
          <w:sz w:val="18"/>
          <w:szCs w:val="18"/>
        </w:rPr>
        <w:instrText xml:space="preserve"> SEQ  cpara \h \r 0</w:instrText>
      </w:r>
      <w:r w:rsidRPr="00C70449">
        <w:rPr>
          <w:sz w:val="18"/>
          <w:szCs w:val="18"/>
        </w:rPr>
        <w:fldChar w:fldCharType="end"/>
      </w:r>
      <w:r w:rsidRPr="00C70449">
        <w:rPr>
          <w:sz w:val="18"/>
          <w:szCs w:val="18"/>
        </w:rPr>
        <w:fldChar w:fldCharType="begin"/>
      </w:r>
      <w:r w:rsidRPr="00C70449">
        <w:rPr>
          <w:sz w:val="18"/>
          <w:szCs w:val="18"/>
        </w:rPr>
        <w:instrText xml:space="preserve"> SEQ  ccount \h</w:instrText>
      </w:r>
      <w:r w:rsidRPr="00C70449">
        <w:rPr>
          <w:sz w:val="18"/>
          <w:szCs w:val="18"/>
        </w:rPr>
        <w:fldChar w:fldCharType="end"/>
      </w:r>
      <w:r w:rsidRPr="00C70449">
        <w:rPr>
          <w:sz w:val="18"/>
          <w:szCs w:val="18"/>
        </w:rPr>
        <w:fldChar w:fldCharType="end"/>
      </w:r>
      <w:r w:rsidRPr="00C70449">
        <w:rPr>
          <w:sz w:val="18"/>
          <w:szCs w:val="18"/>
        </w:rPr>
        <w:t xml:space="preserve"> River and lake water quality</w:t>
      </w:r>
      <w:r w:rsidR="00DC65ED" w:rsidRPr="00C70449">
        <w:t xml:space="preserve"> </w:t>
      </w:r>
    </w:p>
    <w:p w:rsidR="00A51CE3" w:rsidRDefault="00A51CE3" w:rsidP="00A51CE3">
      <w:pPr>
        <w:pStyle w:val="Heading3"/>
      </w:pPr>
      <w:r>
        <w:t>Goal and targets addressed</w:t>
      </w:r>
    </w:p>
    <w:p w:rsidR="00AF505A" w:rsidRPr="00AF505A" w:rsidRDefault="00B20F5B" w:rsidP="00F12149">
      <w:pPr>
        <w:pStyle w:val="BodyText"/>
        <w:rPr>
          <w:lang w:eastAsia="en-GB"/>
        </w:rPr>
      </w:pPr>
      <w:r w:rsidRPr="00DA51D0">
        <w:t>Goal 6</w:t>
      </w:r>
      <w:r w:rsidR="00AF505A" w:rsidRPr="00AF505A">
        <w:t>:</w:t>
      </w:r>
      <w:r w:rsidR="006D7BE0" w:rsidRPr="00AF505A">
        <w:t xml:space="preserve"> </w:t>
      </w:r>
      <w:r>
        <w:t>ensure availability and sustainable management of water and sanitation for all.</w:t>
      </w:r>
    </w:p>
    <w:p w:rsidR="00B20F5B" w:rsidRPr="00B20F5B" w:rsidRDefault="00F12149" w:rsidP="00F12149">
      <w:pPr>
        <w:pStyle w:val="BodyText"/>
        <w:rPr>
          <w:lang w:eastAsia="en-GB"/>
        </w:rPr>
      </w:pPr>
      <w:r>
        <w:t>T</w:t>
      </w:r>
      <w:r w:rsidR="00B20F5B" w:rsidRPr="00F12149">
        <w:t>arget 6.3</w:t>
      </w:r>
      <w:r w:rsidR="00AF505A" w:rsidRPr="00AF505A">
        <w:t>:</w:t>
      </w:r>
      <w:r w:rsidR="006D7BE0" w:rsidRPr="00AF505A">
        <w:t xml:space="preserve"> </w:t>
      </w:r>
      <w:r w:rsidR="00B20F5B" w:rsidRPr="00B20F5B">
        <w:t>By 2030, improve water quality by reducing pollution, eliminating dumping and minimizing release of hazardous chemicals and materials, halving the proportion of untreated wastewater and increasing recycling and safe reuse by [x] per cent globally</w:t>
      </w:r>
      <w:r w:rsidR="00B20F5B" w:rsidRPr="00B20F5B">
        <w:rPr>
          <w:lang w:eastAsia="en-GB"/>
        </w:rPr>
        <w:t>.</w:t>
      </w:r>
    </w:p>
    <w:p w:rsidR="00465AEA" w:rsidRPr="005577FA" w:rsidRDefault="00465AEA" w:rsidP="003448D6">
      <w:pPr>
        <w:pStyle w:val="Heading3"/>
      </w:pPr>
      <w:r w:rsidRPr="005577FA">
        <w:t>Indicators</w:t>
      </w:r>
    </w:p>
    <w:p w:rsidR="00465AEA" w:rsidRPr="005577FA" w:rsidRDefault="00F12149" w:rsidP="00037813">
      <w:pPr>
        <w:pStyle w:val="BodyText"/>
      </w:pPr>
      <w:r>
        <w:rPr>
          <w:iCs/>
          <w:lang w:val="en-US"/>
        </w:rPr>
        <w:t>C</w:t>
      </w:r>
      <w:r w:rsidR="00B20F5B" w:rsidRPr="00F31605">
        <w:rPr>
          <w:iCs/>
          <w:lang w:val="en-US"/>
        </w:rPr>
        <w:t>oncentrations in nitrogen</w:t>
      </w:r>
      <w:r w:rsidR="00B20F5B">
        <w:rPr>
          <w:iCs/>
          <w:lang w:val="en-US"/>
        </w:rPr>
        <w:t xml:space="preserve"> (</w:t>
      </w:r>
      <w:r w:rsidR="00B20F5B" w:rsidRPr="00F31605">
        <w:rPr>
          <w:iCs/>
          <w:lang w:val="en-US"/>
        </w:rPr>
        <w:t>phosphorus</w:t>
      </w:r>
      <w:r w:rsidR="00B20F5B">
        <w:rPr>
          <w:iCs/>
          <w:lang w:val="en-US"/>
        </w:rPr>
        <w:t>)</w:t>
      </w:r>
      <w:r w:rsidR="00B20F5B" w:rsidRPr="00F31605">
        <w:rPr>
          <w:iCs/>
          <w:lang w:val="en-US"/>
        </w:rPr>
        <w:t xml:space="preserve"> and oxygen</w:t>
      </w:r>
      <w:r w:rsidR="00B20F5B">
        <w:rPr>
          <w:iCs/>
          <w:lang w:val="en-US"/>
        </w:rPr>
        <w:t xml:space="preserve"> (in mg/l)</w:t>
      </w:r>
      <w:r w:rsidR="006D7BE0" w:rsidRPr="00BD6836">
        <w:t>.</w:t>
      </w:r>
    </w:p>
    <w:p w:rsidR="003448D6" w:rsidRDefault="003448D6" w:rsidP="003448D6">
      <w:pPr>
        <w:pStyle w:val="Heading3"/>
      </w:pPr>
      <w:r>
        <w:t>Definition and method of computation</w:t>
      </w:r>
    </w:p>
    <w:p w:rsidR="00B20F5B" w:rsidRDefault="00B20F5B" w:rsidP="00F12149">
      <w:pPr>
        <w:pStyle w:val="BodyText"/>
        <w:rPr>
          <w:lang w:val="en-US"/>
        </w:rPr>
      </w:pPr>
      <w:r w:rsidRPr="00DA51D0">
        <w:rPr>
          <w:iCs/>
          <w:lang w:val="en-US"/>
        </w:rPr>
        <w:t xml:space="preserve">Indicators based on </w:t>
      </w:r>
      <w:r>
        <w:rPr>
          <w:iCs/>
          <w:lang w:val="en-US"/>
        </w:rPr>
        <w:t xml:space="preserve">monitoring data and </w:t>
      </w:r>
      <w:r w:rsidRPr="00DA51D0">
        <w:rPr>
          <w:lang w:val="en-US"/>
        </w:rPr>
        <w:t>on the analysis of unfiltered sample</w:t>
      </w:r>
      <w:r>
        <w:rPr>
          <w:lang w:val="en-US"/>
        </w:rPr>
        <w:t>s</w:t>
      </w:r>
      <w:r w:rsidRPr="00DA51D0">
        <w:rPr>
          <w:lang w:val="en-US"/>
        </w:rPr>
        <w:t>, usually with a digestion step.</w:t>
      </w:r>
      <w:r>
        <w:rPr>
          <w:iCs/>
          <w:lang w:val="en-US"/>
        </w:rPr>
        <w:t xml:space="preserve"> </w:t>
      </w:r>
      <w:r>
        <w:rPr>
          <w:lang w:val="en-US"/>
        </w:rPr>
        <w:t xml:space="preserve">Expressed as </w:t>
      </w:r>
      <w:r w:rsidRPr="00F31605">
        <w:rPr>
          <w:lang w:val="en-US"/>
        </w:rPr>
        <w:t>annual average concentrations in nitrogen</w:t>
      </w:r>
      <w:r>
        <w:rPr>
          <w:lang w:val="en-US"/>
        </w:rPr>
        <w:t xml:space="preserve"> (</w:t>
      </w:r>
      <w:r w:rsidRPr="00F31605">
        <w:rPr>
          <w:lang w:val="en-US"/>
        </w:rPr>
        <w:t>phosphorus</w:t>
      </w:r>
      <w:r>
        <w:rPr>
          <w:lang w:val="en-US"/>
        </w:rPr>
        <w:t>)</w:t>
      </w:r>
      <w:r w:rsidRPr="00F31605">
        <w:rPr>
          <w:lang w:val="en-US"/>
        </w:rPr>
        <w:t xml:space="preserve"> and oxygen</w:t>
      </w:r>
      <w:r>
        <w:rPr>
          <w:lang w:val="en-US"/>
        </w:rPr>
        <w:t xml:space="preserve"> (in mg/l)</w:t>
      </w:r>
      <w:r w:rsidRPr="00F31605">
        <w:rPr>
          <w:lang w:val="en-US"/>
        </w:rPr>
        <w:t xml:space="preserve">, measured at the mouth or the downstream frontier of countries’ main rivers (i.e. </w:t>
      </w:r>
      <w:r>
        <w:rPr>
          <w:lang w:val="en-US"/>
        </w:rPr>
        <w:t xml:space="preserve">those </w:t>
      </w:r>
      <w:r w:rsidRPr="00F31605">
        <w:rPr>
          <w:lang w:val="en-US"/>
        </w:rPr>
        <w:t>draining the large watersheds).</w:t>
      </w:r>
    </w:p>
    <w:p w:rsidR="006D7BE0" w:rsidRPr="00BD6836" w:rsidRDefault="00B20F5B" w:rsidP="00F12149">
      <w:pPr>
        <w:pStyle w:val="BodyText"/>
      </w:pPr>
      <w:r>
        <w:rPr>
          <w:lang w:val="en-US"/>
        </w:rPr>
        <w:t>Usually c</w:t>
      </w:r>
      <w:r w:rsidRPr="00F31605">
        <w:rPr>
          <w:lang w:val="en-US"/>
        </w:rPr>
        <w:t>omputed as three-year averages of annual average concentrations</w:t>
      </w:r>
      <w:r>
        <w:rPr>
          <w:lang w:val="en-US"/>
        </w:rPr>
        <w:t>, and showing trends over longer periods.</w:t>
      </w:r>
    </w:p>
    <w:p w:rsidR="003448D6" w:rsidRDefault="003448D6" w:rsidP="003448D6">
      <w:pPr>
        <w:pStyle w:val="Heading3"/>
      </w:pPr>
      <w:r>
        <w:t>Rationale and interpretation</w:t>
      </w:r>
    </w:p>
    <w:p w:rsidR="00B20F5B" w:rsidRDefault="00B20F5B" w:rsidP="00F12149">
      <w:pPr>
        <w:pStyle w:val="BodyText"/>
      </w:pPr>
      <w:r>
        <w:t>Water quality (physical, chemical, microbial, biological) is of economic, environmental and social importance. It is affected by water abstraction, pollution loads from human activities, and by climate and weather.</w:t>
      </w:r>
    </w:p>
    <w:p w:rsidR="00B20F5B" w:rsidRPr="00C30082" w:rsidRDefault="00B20F5B" w:rsidP="00F12149">
      <w:pPr>
        <w:pStyle w:val="BodyText"/>
      </w:pPr>
      <w:r w:rsidRPr="00C30082">
        <w:t>If pressure from human activities becomes so intense that water quality is impaired to the point that it requires ever more advanced and costly treatment, or that aquatic plant and animal species in rivers and lakes are greatly reduced, then the sustainability of water resource use is in question.</w:t>
      </w:r>
    </w:p>
    <w:p w:rsidR="006D7BE0" w:rsidRPr="00492DA7" w:rsidRDefault="00B20F5B" w:rsidP="00F12149">
      <w:pPr>
        <w:pStyle w:val="BodyText"/>
      </w:pPr>
      <w:r>
        <w:rPr>
          <w:lang w:val="en-US"/>
        </w:rPr>
        <w:t xml:space="preserve">The indicators </w:t>
      </w:r>
      <w:r w:rsidRPr="00C30082">
        <w:rPr>
          <w:lang w:val="en-US"/>
        </w:rPr>
        <w:t xml:space="preserve">show the evolution of water quality </w:t>
      </w:r>
      <w:r>
        <w:rPr>
          <w:lang w:val="en-US"/>
        </w:rPr>
        <w:t xml:space="preserve">in rivers and lakes </w:t>
      </w:r>
      <w:r w:rsidRPr="00C30082">
        <w:rPr>
          <w:lang w:val="en-US"/>
        </w:rPr>
        <w:t>over longer periods</w:t>
      </w:r>
      <w:r>
        <w:rPr>
          <w:lang w:val="en-US"/>
        </w:rPr>
        <w:t xml:space="preserve"> (10 to 20 years)</w:t>
      </w:r>
      <w:r w:rsidRPr="00C30082">
        <w:rPr>
          <w:lang w:val="en-US"/>
        </w:rPr>
        <w:t>.</w:t>
      </w:r>
      <w:r>
        <w:rPr>
          <w:lang w:val="en-US"/>
        </w:rPr>
        <w:t xml:space="preserve"> Measured at the mouth or downstream frontier of rivers they give a summary view of the pollution load and clean-up efforts in the upstream watershed.</w:t>
      </w:r>
      <w:r w:rsidR="006D7BE0">
        <w:t>.</w:t>
      </w:r>
    </w:p>
    <w:p w:rsidR="003448D6" w:rsidRPr="006D7BE0" w:rsidRDefault="003448D6" w:rsidP="006D7BE0">
      <w:pPr>
        <w:pStyle w:val="Heading3"/>
      </w:pPr>
      <w:r w:rsidRPr="006D7BE0">
        <w:t>Sources and data collection</w:t>
      </w:r>
    </w:p>
    <w:p w:rsidR="00B20F5B" w:rsidRPr="00DA51D0" w:rsidRDefault="00B20F5B" w:rsidP="00F12149">
      <w:pPr>
        <w:pStyle w:val="BodyText"/>
      </w:pPr>
      <w:r w:rsidRPr="00DA51D0">
        <w:t>Source 1: OECD Environmental data.</w:t>
      </w:r>
    </w:p>
    <w:p w:rsidR="00B20F5B" w:rsidRPr="00DA51D0" w:rsidRDefault="00B20F5B" w:rsidP="00F12149">
      <w:pPr>
        <w:pStyle w:val="BodyText"/>
      </w:pPr>
      <w:r w:rsidRPr="00DA51D0">
        <w:t>Data collection from countries via questionnaire (OECD state of the environment questionnaire, section on inland waters)</w:t>
      </w:r>
    </w:p>
    <w:p w:rsidR="008843E0" w:rsidRDefault="00B20F5B" w:rsidP="00F12149">
      <w:pPr>
        <w:pStyle w:val="BodyText"/>
      </w:pPr>
      <w:r w:rsidRPr="00DA51D0">
        <w:t>Source 2: EEA Waterbase (for data on European countries)</w:t>
      </w:r>
      <w:r w:rsidR="006D7BE0" w:rsidRPr="00DA51D0">
        <w:t>.</w:t>
      </w:r>
      <w:r w:rsidR="00150D14" w:rsidRPr="00C73B96">
        <w:t xml:space="preserve"> </w:t>
      </w:r>
    </w:p>
    <w:p w:rsidR="003448D6" w:rsidRPr="008843E0" w:rsidRDefault="003448D6" w:rsidP="008843E0">
      <w:pPr>
        <w:pStyle w:val="Heading3"/>
      </w:pPr>
      <w:r w:rsidRPr="008843E0">
        <w:lastRenderedPageBreak/>
        <w:t>Disaggregation</w:t>
      </w:r>
    </w:p>
    <w:p w:rsidR="003448D6" w:rsidRDefault="00B20F5B" w:rsidP="00AF505A">
      <w:pPr>
        <w:pStyle w:val="BodyText"/>
      </w:pPr>
      <w:r>
        <w:rPr>
          <w:lang w:val="en-US"/>
        </w:rPr>
        <w:t>By main rivers and by main lakes</w:t>
      </w:r>
      <w:r w:rsidR="006D7BE0">
        <w:t xml:space="preserve"> </w:t>
      </w:r>
    </w:p>
    <w:p w:rsidR="003414EC" w:rsidRDefault="003414EC" w:rsidP="003414EC">
      <w:pPr>
        <w:pStyle w:val="Heading3"/>
      </w:pPr>
      <w:r>
        <w:t>Comments and limitations</w:t>
      </w:r>
    </w:p>
    <w:p w:rsidR="003414EC" w:rsidRDefault="00B20F5B" w:rsidP="003414EC">
      <w:pPr>
        <w:pStyle w:val="BodyText"/>
      </w:pPr>
      <w:r>
        <w:t>The calculation of the indicators requires the existence of water monitoring systems, and continuity in the monitoring effort</w:t>
      </w:r>
      <w:r w:rsidR="003414EC" w:rsidRPr="00E85572">
        <w:t>.</w:t>
      </w:r>
    </w:p>
    <w:p w:rsidR="003448D6" w:rsidRDefault="003448D6" w:rsidP="003448D6">
      <w:pPr>
        <w:pStyle w:val="Heading3"/>
      </w:pPr>
      <w:r>
        <w:t>Gender equality issues</w:t>
      </w:r>
    </w:p>
    <w:p w:rsidR="003448D6" w:rsidRDefault="00A51CE3" w:rsidP="003448D6">
      <w:pPr>
        <w:pStyle w:val="BodyText"/>
      </w:pPr>
      <w:r>
        <w:t>-</w:t>
      </w:r>
    </w:p>
    <w:p w:rsidR="003448D6" w:rsidRPr="006D7BE0" w:rsidRDefault="003448D6" w:rsidP="003448D6">
      <w:pPr>
        <w:pStyle w:val="Heading3"/>
      </w:pPr>
      <w:r w:rsidRPr="006D7BE0">
        <w:t>Data for global and regional monitoring</w:t>
      </w:r>
    </w:p>
    <w:p w:rsidR="00A51CE3" w:rsidRPr="00DA51D0" w:rsidRDefault="00B20F5B" w:rsidP="00212052">
      <w:pPr>
        <w:pStyle w:val="BodyText"/>
      </w:pPr>
      <w:r w:rsidRPr="00DA51D0">
        <w:t>OECD member and partner countries</w:t>
      </w:r>
      <w:r w:rsidR="006D7BE0" w:rsidRPr="00DA51D0">
        <w:t>.</w:t>
      </w:r>
      <w:r w:rsidR="00A51CE3" w:rsidRPr="00DA51D0">
        <w:t>.</w:t>
      </w:r>
    </w:p>
    <w:p w:rsidR="001C4B7C" w:rsidRDefault="003448D6" w:rsidP="00AE34A2">
      <w:pPr>
        <w:pStyle w:val="Heading3"/>
      </w:pPr>
      <w:r>
        <w:t>References</w:t>
      </w:r>
    </w:p>
    <w:p w:rsidR="002C4C14" w:rsidRDefault="00F12149" w:rsidP="006D7BE0">
      <w:pPr>
        <w:pStyle w:val="BodyText"/>
        <w:rPr>
          <w:rStyle w:val="Hyperlink"/>
        </w:rPr>
      </w:pPr>
      <w:r w:rsidRPr="00DA51D0">
        <w:t xml:space="preserve">OECD, "River and lake quality", </w:t>
      </w:r>
      <w:hyperlink r:id="rId9" w:tgtFrame="_blank" w:tooltip="http://dx.doi.org/10.1787/data-00693-en" w:history="1">
        <w:r w:rsidRPr="00DA51D0">
          <w:rPr>
            <w:rStyle w:val="Hyperlink"/>
          </w:rPr>
          <w:t>http://dx.doi.org/10.1787/data-00693-en</w:t>
        </w:r>
      </w:hyperlink>
      <w:r w:rsidR="006D7BE0">
        <w:rPr>
          <w:rStyle w:val="Hyperlink"/>
        </w:rPr>
        <w:t xml:space="preserve"> </w:t>
      </w:r>
    </w:p>
    <w:p w:rsidR="00B43800" w:rsidRDefault="00B43800">
      <w:pPr>
        <w:tabs>
          <w:tab w:val="clear" w:pos="850"/>
          <w:tab w:val="clear" w:pos="1191"/>
          <w:tab w:val="clear" w:pos="1531"/>
        </w:tabs>
        <w:jc w:val="left"/>
        <w:rPr>
          <w:rStyle w:val="Hyperlink"/>
        </w:rPr>
      </w:pPr>
      <w:r>
        <w:rPr>
          <w:rStyle w:val="Hyperlink"/>
        </w:rPr>
        <w:br w:type="page"/>
      </w:r>
    </w:p>
    <w:p w:rsidR="00B43800" w:rsidRPr="00B43800" w:rsidRDefault="00B43800" w:rsidP="00B43800">
      <w:pPr>
        <w:keepNext/>
        <w:spacing w:before="1200" w:after="720"/>
        <w:jc w:val="center"/>
        <w:outlineLvl w:val="0"/>
        <w:rPr>
          <w:b/>
          <w:bCs/>
          <w:caps/>
          <w:kern w:val="28"/>
        </w:rPr>
      </w:pPr>
      <w:r w:rsidRPr="00B43800">
        <w:rPr>
          <w:b/>
          <w:bCs/>
          <w:caps/>
          <w:kern w:val="28"/>
        </w:rPr>
        <w:lastRenderedPageBreak/>
        <w:t>ODA for water supply and sanitation</w:t>
      </w:r>
    </w:p>
    <w:p w:rsidR="00B43800" w:rsidRPr="00B43800" w:rsidRDefault="00B43800" w:rsidP="00B43800">
      <w:pPr>
        <w:keepNext/>
        <w:spacing w:before="240" w:after="240"/>
        <w:outlineLvl w:val="2"/>
        <w:rPr>
          <w:b/>
          <w:bCs/>
          <w:i/>
          <w:iCs/>
        </w:rPr>
      </w:pPr>
      <w:r w:rsidRPr="00B43800">
        <w:rPr>
          <w:b/>
          <w:bCs/>
          <w:i/>
          <w:iCs/>
        </w:rPr>
        <w:t>Goal and target addressed</w:t>
      </w:r>
    </w:p>
    <w:p w:rsidR="00B43800" w:rsidRPr="00B43800" w:rsidRDefault="00B43800" w:rsidP="00B43800">
      <w:pPr>
        <w:spacing w:after="240"/>
        <w:ind w:firstLine="442"/>
      </w:pPr>
      <w:r w:rsidRPr="00B43800">
        <w:t>Goal 6: Ensure availability and sustainable management of water and sanitation for all.</w:t>
      </w:r>
    </w:p>
    <w:p w:rsidR="00B43800" w:rsidRPr="00B43800" w:rsidRDefault="00B43800" w:rsidP="00B43800">
      <w:pPr>
        <w:spacing w:after="240"/>
        <w:ind w:firstLine="442"/>
      </w:pPr>
      <w:r w:rsidRPr="00B43800">
        <w:t>Target 6a: By 2030, expand international cooperation and capacity-building support to developing countries in water and sanitation related activities and programmes, including water harvesting, desalination, water efficiency, wastewater treatment, recycling and reuse technologies.</w:t>
      </w:r>
    </w:p>
    <w:p w:rsidR="00B43800" w:rsidRPr="00B43800" w:rsidRDefault="00B43800" w:rsidP="00B43800">
      <w:pPr>
        <w:keepNext/>
        <w:spacing w:before="240" w:after="240"/>
        <w:outlineLvl w:val="2"/>
        <w:rPr>
          <w:b/>
          <w:bCs/>
          <w:i/>
          <w:iCs/>
        </w:rPr>
      </w:pPr>
      <w:r w:rsidRPr="00B43800">
        <w:rPr>
          <w:b/>
          <w:bCs/>
          <w:i/>
          <w:iCs/>
        </w:rPr>
        <w:t>Definition and method of computation</w:t>
      </w:r>
    </w:p>
    <w:p w:rsidR="00B43800" w:rsidRPr="00B43800" w:rsidRDefault="00B43800" w:rsidP="00B43800">
      <w:pPr>
        <w:spacing w:after="240"/>
        <w:ind w:firstLine="442"/>
        <w:rPr>
          <w:lang w:eastAsia="en-US"/>
        </w:rPr>
      </w:pPr>
      <w:r w:rsidRPr="00B43800">
        <w:rPr>
          <w:lang w:eastAsia="en-US"/>
        </w:rPr>
        <w:t xml:space="preserve">Total net </w:t>
      </w:r>
      <w:hyperlink r:id="rId10" w:anchor="ODA" w:history="1">
        <w:r w:rsidRPr="00B43800">
          <w:rPr>
            <w:color w:val="0000FF" w:themeColor="hyperlink"/>
            <w:u w:val="single"/>
            <w:lang w:eastAsia="en-US"/>
          </w:rPr>
          <w:t>official development assistance</w:t>
        </w:r>
      </w:hyperlink>
      <w:r w:rsidRPr="00B43800">
        <w:rPr>
          <w:lang w:eastAsia="en-US"/>
        </w:rPr>
        <w:t xml:space="preserve"> (ODA) to water supply and sanitation (</w:t>
      </w:r>
      <w:hyperlink r:id="rId11" w:history="1">
        <w:r w:rsidRPr="00B43800">
          <w:rPr>
            <w:color w:val="0000FF" w:themeColor="hyperlink"/>
            <w:u w:val="single"/>
            <w:lang w:eastAsia="en-US"/>
          </w:rPr>
          <w:t>purpose code</w:t>
        </w:r>
      </w:hyperlink>
      <w:r w:rsidRPr="00B43800">
        <w:rPr>
          <w:lang w:eastAsia="en-US"/>
        </w:rPr>
        <w:t xml:space="preserve"> 140).  Data expressed in US dollars at the average annual exchange rate.</w:t>
      </w:r>
    </w:p>
    <w:p w:rsidR="00B43800" w:rsidRPr="00B43800" w:rsidRDefault="00B43800" w:rsidP="00B43800">
      <w:pPr>
        <w:keepNext/>
        <w:spacing w:before="240" w:after="240"/>
        <w:outlineLvl w:val="2"/>
        <w:rPr>
          <w:b/>
          <w:bCs/>
          <w:i/>
          <w:iCs/>
        </w:rPr>
      </w:pPr>
      <w:r w:rsidRPr="00B43800">
        <w:rPr>
          <w:b/>
          <w:bCs/>
          <w:i/>
          <w:iCs/>
        </w:rPr>
        <w:t>Rationale and interpretation</w:t>
      </w:r>
    </w:p>
    <w:p w:rsidR="00B43800" w:rsidRPr="00B43800" w:rsidRDefault="00B43800" w:rsidP="00B43800">
      <w:pPr>
        <w:spacing w:after="240"/>
        <w:ind w:firstLine="442"/>
      </w:pPr>
      <w:r w:rsidRPr="00B43800">
        <w:t>ODA is the accepted measure of international development co-operation.  In this case it captures aid in support of projects and programmes to improve water supply and sanitation infrastructure in developing countries.</w:t>
      </w:r>
    </w:p>
    <w:p w:rsidR="00B43800" w:rsidRPr="00B43800" w:rsidRDefault="00B43800" w:rsidP="00B43800">
      <w:pPr>
        <w:keepNext/>
        <w:spacing w:before="240" w:after="240"/>
        <w:outlineLvl w:val="2"/>
        <w:rPr>
          <w:b/>
          <w:bCs/>
          <w:i/>
          <w:iCs/>
        </w:rPr>
      </w:pPr>
      <w:r w:rsidRPr="00B43800">
        <w:rPr>
          <w:b/>
          <w:bCs/>
          <w:i/>
          <w:iCs/>
        </w:rPr>
        <w:t>Sources and data collection</w:t>
      </w:r>
    </w:p>
    <w:p w:rsidR="00B43800" w:rsidRPr="00B43800" w:rsidRDefault="00B43800" w:rsidP="00B43800">
      <w:pPr>
        <w:spacing w:after="240"/>
        <w:ind w:firstLine="442"/>
        <w:rPr>
          <w:lang w:eastAsia="en-US"/>
        </w:rPr>
      </w:pPr>
      <w:r w:rsidRPr="00B43800">
        <w:rPr>
          <w:lang w:eastAsia="en-US"/>
        </w:rPr>
        <w:t xml:space="preserve">Data are compiled by the Development Assistance Committee (DAC) of the Organisation for Economic Co-operation and Development from returns submitted by its member countries and other aid providers.  Data are available </w:t>
      </w:r>
      <w:hyperlink r:id="rId12" w:history="1">
        <w:r w:rsidRPr="00B43800">
          <w:rPr>
            <w:color w:val="0000FF" w:themeColor="hyperlink"/>
            <w:u w:val="single"/>
            <w:lang w:eastAsia="en-US"/>
          </w:rPr>
          <w:t>here</w:t>
        </w:r>
      </w:hyperlink>
      <w:r w:rsidRPr="00B43800">
        <w:rPr>
          <w:lang w:eastAsia="en-US"/>
        </w:rPr>
        <w:t>.</w:t>
      </w:r>
    </w:p>
    <w:p w:rsidR="00B43800" w:rsidRPr="00B43800" w:rsidRDefault="00B43800" w:rsidP="00B43800">
      <w:pPr>
        <w:keepNext/>
        <w:spacing w:before="240" w:after="240"/>
        <w:outlineLvl w:val="2"/>
        <w:rPr>
          <w:b/>
          <w:bCs/>
          <w:i/>
          <w:iCs/>
        </w:rPr>
      </w:pPr>
      <w:r w:rsidRPr="00B43800">
        <w:rPr>
          <w:b/>
          <w:bCs/>
          <w:i/>
          <w:iCs/>
        </w:rPr>
        <w:t>Disaggregation</w:t>
      </w:r>
    </w:p>
    <w:p w:rsidR="00B43800" w:rsidRPr="00B43800" w:rsidRDefault="00B43800" w:rsidP="00B43800">
      <w:pPr>
        <w:spacing w:after="240"/>
        <w:ind w:firstLine="442"/>
      </w:pPr>
      <w:r w:rsidRPr="00B43800">
        <w:t>The data are generally obtained on an activity level, and include numerous parameters.  They can thus be disaggregated by provider and recipient country; by type of finance, and by type of resources provided.  Some data are also available on the policy objectives targeted by individual projects.</w:t>
      </w:r>
    </w:p>
    <w:p w:rsidR="00B43800" w:rsidRPr="00B43800" w:rsidRDefault="00B43800" w:rsidP="00B43800">
      <w:pPr>
        <w:keepNext/>
        <w:spacing w:before="240" w:after="240"/>
        <w:outlineLvl w:val="2"/>
        <w:rPr>
          <w:b/>
          <w:bCs/>
          <w:i/>
          <w:iCs/>
        </w:rPr>
      </w:pPr>
      <w:r w:rsidRPr="00B43800">
        <w:rPr>
          <w:b/>
          <w:bCs/>
          <w:i/>
          <w:iCs/>
        </w:rPr>
        <w:t>Comments and limitations</w:t>
      </w:r>
    </w:p>
    <w:p w:rsidR="00B43800" w:rsidRPr="00B43800" w:rsidRDefault="00B43800" w:rsidP="00B43800">
      <w:pPr>
        <w:spacing w:after="240"/>
        <w:ind w:firstLine="442"/>
      </w:pPr>
      <w:r w:rsidRPr="00B43800">
        <w:t>The data only cover official concessional support from donor countries. The OECD and other organisations also collect data on broader investment flows to developing countries.  However detailed sectoral information on such flows is lacking.</w:t>
      </w:r>
    </w:p>
    <w:p w:rsidR="00B43800" w:rsidRPr="00B43800" w:rsidRDefault="00B43800" w:rsidP="00B43800">
      <w:pPr>
        <w:keepNext/>
        <w:spacing w:before="240" w:after="240"/>
        <w:outlineLvl w:val="2"/>
        <w:rPr>
          <w:b/>
          <w:bCs/>
          <w:i/>
          <w:iCs/>
        </w:rPr>
      </w:pPr>
      <w:r w:rsidRPr="00B43800">
        <w:rPr>
          <w:b/>
          <w:bCs/>
          <w:i/>
          <w:iCs/>
        </w:rPr>
        <w:t>Gender equality issues</w:t>
      </w:r>
    </w:p>
    <w:p w:rsidR="00B43800" w:rsidRPr="00B43800" w:rsidRDefault="00B43800" w:rsidP="00B43800">
      <w:pPr>
        <w:spacing w:after="240"/>
        <w:ind w:firstLine="442"/>
      </w:pPr>
      <w:r w:rsidRPr="00B43800">
        <w:t xml:space="preserve">The data include a “gender equality” marker which identifies individual projects that have a clear gender dimension. </w:t>
      </w:r>
    </w:p>
    <w:p w:rsidR="00B43800" w:rsidRPr="00B43800" w:rsidRDefault="00B43800" w:rsidP="00B43800">
      <w:pPr>
        <w:keepNext/>
        <w:spacing w:before="240" w:after="240"/>
        <w:outlineLvl w:val="2"/>
        <w:rPr>
          <w:b/>
          <w:bCs/>
          <w:i/>
          <w:iCs/>
        </w:rPr>
      </w:pPr>
      <w:r w:rsidRPr="00B43800">
        <w:rPr>
          <w:b/>
          <w:bCs/>
          <w:i/>
          <w:iCs/>
        </w:rPr>
        <w:t>Data for global and regional monitoring</w:t>
      </w:r>
    </w:p>
    <w:p w:rsidR="00B43800" w:rsidRPr="00B43800" w:rsidRDefault="00B43800" w:rsidP="00B43800">
      <w:pPr>
        <w:spacing w:after="240"/>
        <w:ind w:firstLine="442"/>
      </w:pPr>
      <w:r w:rsidRPr="00B43800">
        <w:t>Data are available for essentially all high-income countries, and for an increasing number of middle-income aid providers.</w:t>
      </w:r>
    </w:p>
    <w:p w:rsidR="00B43800" w:rsidRPr="00B43800" w:rsidRDefault="00B43800" w:rsidP="00B43800">
      <w:pPr>
        <w:keepNext/>
        <w:spacing w:before="240" w:after="240"/>
        <w:outlineLvl w:val="2"/>
        <w:rPr>
          <w:b/>
          <w:bCs/>
          <w:i/>
          <w:iCs/>
        </w:rPr>
      </w:pPr>
      <w:r w:rsidRPr="00B43800">
        <w:rPr>
          <w:b/>
          <w:bCs/>
          <w:i/>
          <w:iCs/>
        </w:rPr>
        <w:lastRenderedPageBreak/>
        <w:t>Supplementary information</w:t>
      </w:r>
    </w:p>
    <w:p w:rsidR="00B43800" w:rsidRPr="00B43800" w:rsidRDefault="00B43800" w:rsidP="00B43800">
      <w:pPr>
        <w:spacing w:after="240"/>
        <w:ind w:firstLine="442"/>
      </w:pPr>
      <w:r w:rsidRPr="00B43800">
        <w:t xml:space="preserve">See </w:t>
      </w:r>
      <w:hyperlink r:id="rId13" w:history="1">
        <w:r w:rsidRPr="00B43800">
          <w:rPr>
            <w:color w:val="0000FF" w:themeColor="hyperlink"/>
            <w:u w:val="single"/>
          </w:rPr>
          <w:t>Aid to water supply and sanitation</w:t>
        </w:r>
      </w:hyperlink>
    </w:p>
    <w:p w:rsidR="00B43800" w:rsidRPr="00B43800" w:rsidRDefault="00B43800" w:rsidP="00B43800">
      <w:pPr>
        <w:keepNext/>
        <w:spacing w:before="240" w:after="240"/>
        <w:outlineLvl w:val="2"/>
        <w:rPr>
          <w:b/>
          <w:bCs/>
          <w:i/>
          <w:iCs/>
        </w:rPr>
      </w:pPr>
      <w:r w:rsidRPr="00B43800">
        <w:rPr>
          <w:b/>
          <w:bCs/>
          <w:i/>
          <w:iCs/>
        </w:rPr>
        <w:t>References</w:t>
      </w:r>
    </w:p>
    <w:p w:rsidR="00B43800" w:rsidRPr="00B43800" w:rsidRDefault="00B43800" w:rsidP="00B43800">
      <w:pPr>
        <w:spacing w:after="240"/>
        <w:ind w:firstLine="442"/>
      </w:pPr>
      <w:r w:rsidRPr="00B43800">
        <w:t xml:space="preserve">OECD, 2015 </w:t>
      </w:r>
      <w:hyperlink r:id="rId14" w:history="1">
        <w:r w:rsidRPr="00B43800">
          <w:rPr>
            <w:color w:val="0000FF" w:themeColor="hyperlink"/>
            <w:u w:val="single"/>
          </w:rPr>
          <w:t>Aid to the water supply and sanitation sector</w:t>
        </w:r>
      </w:hyperlink>
    </w:p>
    <w:p w:rsidR="00B43800" w:rsidRPr="006D7BE0" w:rsidRDefault="00B43800" w:rsidP="006D7BE0">
      <w:pPr>
        <w:pStyle w:val="BodyText"/>
        <w:rPr>
          <w:color w:val="0000FF" w:themeColor="hyperlink"/>
          <w:u w:val="single"/>
        </w:rPr>
      </w:pPr>
      <w:bookmarkStart w:id="0" w:name="_GoBack"/>
      <w:bookmarkEnd w:id="0"/>
    </w:p>
    <w:sectPr w:rsidR="00B43800" w:rsidRPr="006D7BE0" w:rsidSect="00465AEA">
      <w:headerReference w:type="even" r:id="rId15"/>
      <w:footerReference w:type="even" r:id="rId16"/>
      <w:footerReference w:type="default" r:id="rId17"/>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36A" w:rsidRDefault="004A736A">
      <w:r>
        <w:separator/>
      </w:r>
    </w:p>
  </w:endnote>
  <w:endnote w:type="continuationSeparator" w:id="0">
    <w:p w:rsidR="004A736A" w:rsidRDefault="004A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465A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EA" w:rsidRDefault="00465AEA" w:rsidP="003758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43800">
      <w:rPr>
        <w:rStyle w:val="PageNumber"/>
        <w:noProof/>
      </w:rPr>
      <w:t>4</w:t>
    </w:r>
    <w:r>
      <w:rPr>
        <w:rStyle w:val="PageNumber"/>
      </w:rPr>
      <w:fldChar w:fldCharType="end"/>
    </w:r>
  </w:p>
  <w:p w:rsidR="00125645" w:rsidRPr="00465AEA" w:rsidRDefault="00125645" w:rsidP="00465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36A" w:rsidRDefault="004A736A">
      <w:r>
        <w:separator/>
      </w:r>
    </w:p>
  </w:footnote>
  <w:footnote w:type="continuationSeparator" w:id="0">
    <w:p w:rsidR="004A736A" w:rsidRDefault="004A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DA8"/>
    <w:multiLevelType w:val="hybridMultilevel"/>
    <w:tmpl w:val="4DF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2">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5">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6">
    <w:nsid w:val="14FD5E8A"/>
    <w:multiLevelType w:val="hybridMultilevel"/>
    <w:tmpl w:val="202C8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8">
    <w:nsid w:val="1AF44508"/>
    <w:multiLevelType w:val="hybridMultilevel"/>
    <w:tmpl w:val="17EE6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10">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11">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2">
    <w:nsid w:val="38B5323E"/>
    <w:multiLevelType w:val="hybridMultilevel"/>
    <w:tmpl w:val="9B4C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E545BBD"/>
    <w:multiLevelType w:val="hybridMultilevel"/>
    <w:tmpl w:val="E24AD9E6"/>
    <w:lvl w:ilvl="0" w:tplc="DA94F0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6">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7">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8">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9">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20">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5"/>
  </w:num>
  <w:num w:numId="2">
    <w:abstractNumId w:val="3"/>
  </w:num>
  <w:num w:numId="3">
    <w:abstractNumId w:val="4"/>
  </w:num>
  <w:num w:numId="4">
    <w:abstractNumId w:val="15"/>
  </w:num>
  <w:num w:numId="5">
    <w:abstractNumId w:val="1"/>
  </w:num>
  <w:num w:numId="6">
    <w:abstractNumId w:val="10"/>
  </w:num>
  <w:num w:numId="7">
    <w:abstractNumId w:val="16"/>
  </w:num>
  <w:num w:numId="8">
    <w:abstractNumId w:val="18"/>
  </w:num>
  <w:num w:numId="9">
    <w:abstractNumId w:val="19"/>
  </w:num>
  <w:num w:numId="10">
    <w:abstractNumId w:val="13"/>
  </w:num>
  <w:num w:numId="11">
    <w:abstractNumId w:val="20"/>
  </w:num>
  <w:num w:numId="12">
    <w:abstractNumId w:val="17"/>
  </w:num>
  <w:num w:numId="13">
    <w:abstractNumId w:val="2"/>
  </w:num>
  <w:num w:numId="14">
    <w:abstractNumId w:val="11"/>
  </w:num>
  <w:num w:numId="15">
    <w:abstractNumId w:val="7"/>
  </w:num>
  <w:num w:numId="16">
    <w:abstractNumId w:val="9"/>
  </w:num>
  <w:num w:numId="17">
    <w:abstractNumId w:val="0"/>
  </w:num>
  <w:num w:numId="18">
    <w:abstractNumId w:val="6"/>
  </w:num>
  <w:num w:numId="19">
    <w:abstractNumId w:val="12"/>
  </w:num>
  <w:num w:numId="20">
    <w:abstractNumId w:val="8"/>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465AEA"/>
    <w:rsid w:val="00037813"/>
    <w:rsid w:val="00125645"/>
    <w:rsid w:val="00150D14"/>
    <w:rsid w:val="001C4B7C"/>
    <w:rsid w:val="00212052"/>
    <w:rsid w:val="002C4C14"/>
    <w:rsid w:val="002E7A14"/>
    <w:rsid w:val="0030014E"/>
    <w:rsid w:val="003104D6"/>
    <w:rsid w:val="00341310"/>
    <w:rsid w:val="003414EC"/>
    <w:rsid w:val="003448D6"/>
    <w:rsid w:val="00465AEA"/>
    <w:rsid w:val="004A736A"/>
    <w:rsid w:val="006A3AF3"/>
    <w:rsid w:val="006D7BE0"/>
    <w:rsid w:val="006E6743"/>
    <w:rsid w:val="008137B1"/>
    <w:rsid w:val="008843E0"/>
    <w:rsid w:val="008963F1"/>
    <w:rsid w:val="00911B07"/>
    <w:rsid w:val="00A51CE3"/>
    <w:rsid w:val="00AE34A2"/>
    <w:rsid w:val="00AF505A"/>
    <w:rsid w:val="00B20F5B"/>
    <w:rsid w:val="00B43800"/>
    <w:rsid w:val="00BA6993"/>
    <w:rsid w:val="00C70449"/>
    <w:rsid w:val="00D54F67"/>
    <w:rsid w:val="00DA2884"/>
    <w:rsid w:val="00DC29E4"/>
    <w:rsid w:val="00DC65ED"/>
    <w:rsid w:val="00E777AA"/>
    <w:rsid w:val="00EB6021"/>
    <w:rsid w:val="00F12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19766">
      <w:bodyDiv w:val="1"/>
      <w:marLeft w:val="0"/>
      <w:marRight w:val="0"/>
      <w:marTop w:val="0"/>
      <w:marBottom w:val="0"/>
      <w:divBdr>
        <w:top w:val="none" w:sz="0" w:space="0" w:color="auto"/>
        <w:left w:val="none" w:sz="0" w:space="0" w:color="auto"/>
        <w:bottom w:val="none" w:sz="0" w:space="0" w:color="auto"/>
        <w:right w:val="none" w:sz="0" w:space="0" w:color="auto"/>
      </w:divBdr>
    </w:div>
    <w:div w:id="176504359">
      <w:bodyDiv w:val="1"/>
      <w:marLeft w:val="0"/>
      <w:marRight w:val="0"/>
      <w:marTop w:val="0"/>
      <w:marBottom w:val="0"/>
      <w:divBdr>
        <w:top w:val="none" w:sz="0" w:space="0" w:color="auto"/>
        <w:left w:val="none" w:sz="0" w:space="0" w:color="auto"/>
        <w:bottom w:val="none" w:sz="0" w:space="0" w:color="auto"/>
        <w:right w:val="none" w:sz="0" w:space="0" w:color="auto"/>
      </w:divBdr>
    </w:div>
    <w:div w:id="256257355">
      <w:bodyDiv w:val="1"/>
      <w:marLeft w:val="0"/>
      <w:marRight w:val="0"/>
      <w:marTop w:val="0"/>
      <w:marBottom w:val="0"/>
      <w:divBdr>
        <w:top w:val="none" w:sz="0" w:space="0" w:color="auto"/>
        <w:left w:val="none" w:sz="0" w:space="0" w:color="auto"/>
        <w:bottom w:val="none" w:sz="0" w:space="0" w:color="auto"/>
        <w:right w:val="none" w:sz="0" w:space="0" w:color="auto"/>
      </w:divBdr>
    </w:div>
    <w:div w:id="289630726">
      <w:bodyDiv w:val="1"/>
      <w:marLeft w:val="0"/>
      <w:marRight w:val="0"/>
      <w:marTop w:val="0"/>
      <w:marBottom w:val="0"/>
      <w:divBdr>
        <w:top w:val="none" w:sz="0" w:space="0" w:color="auto"/>
        <w:left w:val="none" w:sz="0" w:space="0" w:color="auto"/>
        <w:bottom w:val="none" w:sz="0" w:space="0" w:color="auto"/>
        <w:right w:val="none" w:sz="0" w:space="0" w:color="auto"/>
      </w:divBdr>
    </w:div>
    <w:div w:id="709458765">
      <w:bodyDiv w:val="1"/>
      <w:marLeft w:val="0"/>
      <w:marRight w:val="0"/>
      <w:marTop w:val="0"/>
      <w:marBottom w:val="0"/>
      <w:divBdr>
        <w:top w:val="none" w:sz="0" w:space="0" w:color="auto"/>
        <w:left w:val="none" w:sz="0" w:space="0" w:color="auto"/>
        <w:bottom w:val="none" w:sz="0" w:space="0" w:color="auto"/>
        <w:right w:val="none" w:sz="0" w:space="0" w:color="auto"/>
      </w:divBdr>
    </w:div>
    <w:div w:id="903106443">
      <w:bodyDiv w:val="1"/>
      <w:marLeft w:val="0"/>
      <w:marRight w:val="0"/>
      <w:marTop w:val="0"/>
      <w:marBottom w:val="0"/>
      <w:divBdr>
        <w:top w:val="none" w:sz="0" w:space="0" w:color="auto"/>
        <w:left w:val="none" w:sz="0" w:space="0" w:color="auto"/>
        <w:bottom w:val="none" w:sz="0" w:space="0" w:color="auto"/>
        <w:right w:val="none" w:sz="0" w:space="0" w:color="auto"/>
      </w:divBdr>
    </w:div>
    <w:div w:id="944271945">
      <w:bodyDiv w:val="1"/>
      <w:marLeft w:val="0"/>
      <w:marRight w:val="0"/>
      <w:marTop w:val="0"/>
      <w:marBottom w:val="0"/>
      <w:divBdr>
        <w:top w:val="none" w:sz="0" w:space="0" w:color="auto"/>
        <w:left w:val="none" w:sz="0" w:space="0" w:color="auto"/>
        <w:bottom w:val="none" w:sz="0" w:space="0" w:color="auto"/>
        <w:right w:val="none" w:sz="0" w:space="0" w:color="auto"/>
      </w:divBdr>
    </w:div>
    <w:div w:id="1096827215">
      <w:bodyDiv w:val="1"/>
      <w:marLeft w:val="0"/>
      <w:marRight w:val="0"/>
      <w:marTop w:val="0"/>
      <w:marBottom w:val="0"/>
      <w:divBdr>
        <w:top w:val="none" w:sz="0" w:space="0" w:color="auto"/>
        <w:left w:val="none" w:sz="0" w:space="0" w:color="auto"/>
        <w:bottom w:val="none" w:sz="0" w:space="0" w:color="auto"/>
        <w:right w:val="none" w:sz="0" w:space="0" w:color="auto"/>
      </w:divBdr>
    </w:div>
    <w:div w:id="1586106693">
      <w:bodyDiv w:val="1"/>
      <w:marLeft w:val="0"/>
      <w:marRight w:val="0"/>
      <w:marTop w:val="0"/>
      <w:marBottom w:val="0"/>
      <w:divBdr>
        <w:top w:val="none" w:sz="0" w:space="0" w:color="auto"/>
        <w:left w:val="none" w:sz="0" w:space="0" w:color="auto"/>
        <w:bottom w:val="none" w:sz="0" w:space="0" w:color="auto"/>
        <w:right w:val="none" w:sz="0" w:space="0" w:color="auto"/>
      </w:divBdr>
    </w:div>
    <w:div w:id="1931698788">
      <w:bodyDiv w:val="1"/>
      <w:marLeft w:val="0"/>
      <w:marRight w:val="0"/>
      <w:marTop w:val="0"/>
      <w:marBottom w:val="0"/>
      <w:divBdr>
        <w:top w:val="none" w:sz="0" w:space="0" w:color="auto"/>
        <w:left w:val="none" w:sz="0" w:space="0" w:color="auto"/>
        <w:bottom w:val="none" w:sz="0" w:space="0" w:color="auto"/>
        <w:right w:val="none" w:sz="0" w:space="0" w:color="auto"/>
      </w:divBdr>
    </w:div>
    <w:div w:id="207928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dac/stats/documentupload/Aid%20to%20Water%20and%20Sanitation%20data.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ecd.org/dac/stats/data.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dac/stats/purposecodessectorclassification.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ecd.org/dac/dac-glossary.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dx.doi.org/10.1787/data-00693-en" TargetMode="External"/><Relationship Id="rId14" Type="http://schemas.openxmlformats.org/officeDocument/2006/relationships/hyperlink" Target="http://www.oecd.org/dac/stats/water-relatedai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1DB94A87-9A00-4D1F-8BA8-A859B814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2015-05-20T16:18:00Z</dcterms:created>
  <dcterms:modified xsi:type="dcterms:W3CDTF">2015-05-20T16:18:00Z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